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19 298 / 36 vom 20. Februar 2020</w:t>
      </w:r>
    </w:p>
    <w:p>
      <w:r>
        <w:t>BL Gerichte, 2020-02-20, DE</w:t>
      </w:r>
    </w:p>
    <w:p>
      <w:r>
        <w:rPr>
          <w:b/>
        </w:rPr>
        <w:t xml:space="preserve">Quelle: </w:t>
      </w:r>
      <w:r>
        <w:t>https://mcp.opencaselaw.ch/entscheid/bl_gerichte_725 19 298 _ 36</w:t>
      </w:r>
    </w:p>
    <w:p>
      <w:r>
        <w:t>FR: BL_GERICHTE 725 19 298 / 36 du 20 février 2020</w:t>
      </w:r>
    </w:p>
    <w:p>
      <w:r>
        <w:t>IT: BL_GERICHTE 725 19 298 / 36 del 20 febbraio 2020</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X.____,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im Übrigen frist- und formgerecht erhobene Beschwerde vom 11. September 2019 ist demnach einzutreten.</w:t>
      </w:r>
    </w:p>
    <w:p>
      <w:r>
        <w:rPr>
          <w:b/>
        </w:rPr>
        <w:t>E. 2</w:t>
      </w:r>
    </w:p>
    <w:p>
      <w:r>
        <w:t>Es werden keine Verfahrenskosten erhoben.</w:t>
      </w:r>
    </w:p>
    <w:p>
      <w:r>
        <w:rPr>
          <w:b/>
        </w:rPr>
        <w:t>E. 3</w:t>
      </w:r>
    </w:p>
    <w:p>
      <w:r>
        <w:t>Es wird keine Parteientschädigung ausgerichtet. Gegen diesen Entscheid wurde am 15. Mai 2020 Beschwerde beim Bundesgericht (Verfahren-Nr. 8C_290/2020)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